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111A" w14:textId="4B017D4B" w:rsidR="00ED5F45" w:rsidRPr="00A87319" w:rsidRDefault="00ED5F45" w:rsidP="00A87319">
      <w:pPr>
        <w:jc w:val="center"/>
        <w:rPr>
          <w:rFonts w:cs="Arial"/>
          <w:b/>
          <w:bCs/>
        </w:rPr>
      </w:pPr>
      <w:r w:rsidRPr="00A87319">
        <w:rPr>
          <w:rFonts w:cs="Arial"/>
          <w:b/>
          <w:bCs/>
        </w:rPr>
        <w:t>Equity Credit U</w:t>
      </w:r>
      <w:r w:rsidR="00FD239C" w:rsidRPr="00A87319">
        <w:rPr>
          <w:rFonts w:cs="Arial"/>
          <w:b/>
          <w:bCs/>
        </w:rPr>
        <w:t>nion (ECU)</w:t>
      </w:r>
    </w:p>
    <w:p w14:paraId="1330943E" w14:textId="5BBBF858" w:rsidR="00FD239C" w:rsidRPr="00A87319" w:rsidRDefault="00FD239C" w:rsidP="00A87319">
      <w:pPr>
        <w:jc w:val="center"/>
        <w:rPr>
          <w:rFonts w:cs="Arial"/>
          <w:b/>
          <w:bCs/>
        </w:rPr>
      </w:pPr>
      <w:r w:rsidRPr="00A87319">
        <w:rPr>
          <w:rFonts w:cs="Arial"/>
          <w:b/>
          <w:bCs/>
        </w:rPr>
        <w:t>Statement of FATCA Compliance</w:t>
      </w:r>
    </w:p>
    <w:p w14:paraId="55333A1F" w14:textId="77240DC9" w:rsidR="00FD239C" w:rsidRDefault="006D2F1C">
      <w:pPr>
        <w:rPr>
          <w:rFonts w:cs="Arial"/>
        </w:rPr>
      </w:pPr>
      <w:r>
        <w:rPr>
          <w:rFonts w:cs="Arial"/>
        </w:rPr>
        <w:t xml:space="preserve">Foreign Account Tax Compliance (FATCA) in an all-encompassing Act passed by the US Senate and is part of the Internal Revenue Code (IRC).  FATCA was passed to enable the US government to collect taxes from US citizens living abroad.  </w:t>
      </w:r>
      <w:r w:rsidR="007234EE">
        <w:rPr>
          <w:rFonts w:cs="Arial"/>
        </w:rPr>
        <w:t>The US government through the IRS and the Canadian Government entered an Inter-Governmental Agre</w:t>
      </w:r>
      <w:r w:rsidR="008D4AA0">
        <w:rPr>
          <w:rFonts w:cs="Arial"/>
        </w:rPr>
        <w:t>e</w:t>
      </w:r>
      <w:r w:rsidR="007234EE">
        <w:rPr>
          <w:rFonts w:cs="Arial"/>
        </w:rPr>
        <w:t>ment</w:t>
      </w:r>
      <w:r w:rsidR="008D4AA0">
        <w:rPr>
          <w:rFonts w:cs="Arial"/>
        </w:rPr>
        <w:t xml:space="preserve"> (IGA), which would require Canadian financial institutions (CF</w:t>
      </w:r>
      <w:r w:rsidR="00F3788D">
        <w:rPr>
          <w:rFonts w:cs="Arial"/>
        </w:rPr>
        <w:t>I)</w:t>
      </w:r>
      <w:r w:rsidR="00A87319">
        <w:rPr>
          <w:rFonts w:cs="Arial"/>
        </w:rPr>
        <w:t xml:space="preserve"> to report to the Canada Revenue Agency (CRA) about certain financial accounts held by US citizens or US originated businesses.</w:t>
      </w:r>
    </w:p>
    <w:p w14:paraId="42D68FE9" w14:textId="396E852D" w:rsidR="00A87319" w:rsidRDefault="00163AD7">
      <w:pPr>
        <w:rPr>
          <w:rFonts w:cs="Arial"/>
        </w:rPr>
      </w:pPr>
      <w:r>
        <w:rPr>
          <w:rFonts w:cs="Arial"/>
        </w:rPr>
        <w:t>Under the requirements the credit union must first classify itself</w:t>
      </w:r>
      <w:r w:rsidR="00E67EB6">
        <w:rPr>
          <w:rFonts w:cs="Arial"/>
        </w:rPr>
        <w:t xml:space="preserve"> under one of three categories</w:t>
      </w:r>
      <w:r w:rsidR="00BF051B">
        <w:rPr>
          <w:rFonts w:cs="Arial"/>
        </w:rPr>
        <w:t xml:space="preserve"> </w:t>
      </w:r>
      <w:r w:rsidR="00AD1652">
        <w:rPr>
          <w:rFonts w:cs="Arial"/>
        </w:rPr>
        <w:t>and must reassess this classification annually.  This is one as of December 31 each year to coincide with CRA reporting cycles.</w:t>
      </w:r>
    </w:p>
    <w:p w14:paraId="27B189AA" w14:textId="30000AF9" w:rsidR="00A87319" w:rsidRDefault="00B7595A">
      <w:pPr>
        <w:rPr>
          <w:rFonts w:cs="Arial"/>
        </w:rPr>
      </w:pPr>
      <w:r>
        <w:rPr>
          <w:rFonts w:cs="Arial"/>
        </w:rPr>
        <w:t xml:space="preserve">Prior to </w:t>
      </w:r>
      <w:r w:rsidR="007F262D">
        <w:rPr>
          <w:rFonts w:cs="Arial"/>
        </w:rPr>
        <w:t>2022, the credit union ha</w:t>
      </w:r>
      <w:r w:rsidR="00AD1652">
        <w:rPr>
          <w:rFonts w:cs="Arial"/>
        </w:rPr>
        <w:t>d</w:t>
      </w:r>
      <w:r w:rsidR="007F262D">
        <w:rPr>
          <w:rFonts w:cs="Arial"/>
        </w:rPr>
        <w:t xml:space="preserve"> assets of less than $175 Million USD</w:t>
      </w:r>
      <w:r w:rsidR="00AD1652">
        <w:rPr>
          <w:rFonts w:cs="Arial"/>
        </w:rPr>
        <w:t xml:space="preserve"> equivalent</w:t>
      </w:r>
      <w:r w:rsidR="007F262D">
        <w:rPr>
          <w:rFonts w:cs="Arial"/>
        </w:rPr>
        <w:t xml:space="preserve"> and was classified as </w:t>
      </w:r>
      <w:r w:rsidR="00AD3281">
        <w:rPr>
          <w:rFonts w:cs="Arial"/>
        </w:rPr>
        <w:t>Non</w:t>
      </w:r>
      <w:r w:rsidR="002451FA">
        <w:rPr>
          <w:rFonts w:cs="Arial"/>
        </w:rPr>
        <w:t>-Reporting CFI on the basis it qualified as a “Local Bank”</w:t>
      </w:r>
      <w:r w:rsidR="007D2808">
        <w:rPr>
          <w:rFonts w:cs="Arial"/>
        </w:rPr>
        <w:t xml:space="preserve">.  It was treated as a </w:t>
      </w:r>
      <w:r w:rsidR="00AD1652">
        <w:rPr>
          <w:rFonts w:cs="Arial"/>
        </w:rPr>
        <w:t>C</w:t>
      </w:r>
      <w:r w:rsidR="007D2808">
        <w:rPr>
          <w:rFonts w:cs="Arial"/>
        </w:rPr>
        <w:t xml:space="preserve">ertified deemed compliant FI for FATCA compliance and under this categorisation it was not required to register with the IRS </w:t>
      </w:r>
      <w:r w:rsidR="00094431">
        <w:rPr>
          <w:rFonts w:cs="Arial"/>
        </w:rPr>
        <w:t xml:space="preserve">and obtain an GIIN </w:t>
      </w:r>
      <w:r w:rsidR="007D2808">
        <w:rPr>
          <w:rFonts w:cs="Arial"/>
        </w:rPr>
        <w:t>or report to CRA</w:t>
      </w:r>
      <w:r w:rsidR="00094431">
        <w:rPr>
          <w:rFonts w:cs="Arial"/>
        </w:rPr>
        <w:t>.</w:t>
      </w:r>
    </w:p>
    <w:p w14:paraId="62EFD5FA" w14:textId="272D852A" w:rsidR="00094431" w:rsidRDefault="00094431">
      <w:pPr>
        <w:rPr>
          <w:rFonts w:cs="Arial"/>
        </w:rPr>
      </w:pPr>
      <w:r>
        <w:rPr>
          <w:rFonts w:cs="Arial"/>
        </w:rPr>
        <w:t>As of December 31, 2021</w:t>
      </w:r>
      <w:r w:rsidR="00BF051B">
        <w:rPr>
          <w:rFonts w:cs="Arial"/>
        </w:rPr>
        <w:t>,</w:t>
      </w:r>
      <w:r>
        <w:rPr>
          <w:rFonts w:cs="Arial"/>
        </w:rPr>
        <w:t xml:space="preserve"> the credit union performed the annual test to determine it classification.</w:t>
      </w:r>
      <w:r w:rsidR="00AD1652">
        <w:rPr>
          <w:rFonts w:cs="Arial"/>
        </w:rPr>
        <w:t xml:space="preserve"> </w:t>
      </w:r>
      <w:r>
        <w:rPr>
          <w:rFonts w:cs="Arial"/>
        </w:rPr>
        <w:t xml:space="preserve">At that point in time the credit union is classed as a </w:t>
      </w:r>
      <w:r w:rsidR="009641AC" w:rsidRPr="00AD1652">
        <w:rPr>
          <w:rFonts w:cs="Arial"/>
          <w:b/>
          <w:bCs/>
        </w:rPr>
        <w:t>Non-Reporting CFI on the basis i</w:t>
      </w:r>
      <w:r w:rsidR="002955A2" w:rsidRPr="00AD1652">
        <w:rPr>
          <w:rFonts w:cs="Arial"/>
          <w:b/>
          <w:bCs/>
        </w:rPr>
        <w:t>t has</w:t>
      </w:r>
      <w:r w:rsidR="008F0714">
        <w:rPr>
          <w:rFonts w:cs="Arial"/>
          <w:b/>
          <w:bCs/>
        </w:rPr>
        <w:t xml:space="preserve"> a</w:t>
      </w:r>
      <w:r w:rsidR="002955A2" w:rsidRPr="00AD1652">
        <w:rPr>
          <w:rFonts w:cs="Arial"/>
          <w:b/>
          <w:bCs/>
        </w:rPr>
        <w:t xml:space="preserve"> “local client base”</w:t>
      </w:r>
      <w:r w:rsidR="002955A2">
        <w:rPr>
          <w:rFonts w:cs="Arial"/>
        </w:rPr>
        <w:t>.</w:t>
      </w:r>
      <w:r w:rsidR="00453FE9">
        <w:rPr>
          <w:rFonts w:cs="Arial"/>
        </w:rPr>
        <w:t xml:space="preserve">  The credit union is not required to register with the IRS and obtain a GIIN but will need to report to the CRA on US resident accounts with </w:t>
      </w:r>
      <w:r w:rsidR="00834188">
        <w:rPr>
          <w:rFonts w:cs="Arial"/>
        </w:rPr>
        <w:t xml:space="preserve">an </w:t>
      </w:r>
      <w:r w:rsidR="00453FE9">
        <w:rPr>
          <w:rFonts w:cs="Arial"/>
        </w:rPr>
        <w:t>aggregate balance greater than $50,000 US.</w:t>
      </w:r>
    </w:p>
    <w:p w14:paraId="2A14A2AF" w14:textId="149797EA" w:rsidR="00C466F8" w:rsidRPr="00582DCB" w:rsidRDefault="00C466F8">
      <w:pPr>
        <w:rPr>
          <w:rFonts w:cs="Arial"/>
          <w:b/>
          <w:bCs/>
        </w:rPr>
      </w:pPr>
      <w:r w:rsidRPr="00582DCB">
        <w:rPr>
          <w:rFonts w:cs="Arial"/>
          <w:b/>
          <w:bCs/>
        </w:rPr>
        <w:t>Facts that support the classification:</w:t>
      </w:r>
    </w:p>
    <w:p w14:paraId="0BC19D91" w14:textId="52A09F0B" w:rsidR="00582DCB" w:rsidRPr="00DC4A9A" w:rsidRDefault="00582DCB" w:rsidP="00582DCB">
      <w:pPr>
        <w:pStyle w:val="ListParagraph"/>
        <w:numPr>
          <w:ilvl w:val="0"/>
          <w:numId w:val="5"/>
        </w:numPr>
        <w:rPr>
          <w:rFonts w:cs="Arial"/>
        </w:rPr>
      </w:pPr>
      <w:r w:rsidRPr="00DC4A9A">
        <w:rPr>
          <w:rFonts w:cs="Arial"/>
        </w:rPr>
        <w:t>At least 98% of the credit union’s financial accounts, by value, are held by residents of Canada.  A review of the accounts of the credit union indicates that less than 2%</w:t>
      </w:r>
      <w:r w:rsidR="001F1D4A">
        <w:rPr>
          <w:rFonts w:cs="Arial"/>
        </w:rPr>
        <w:t xml:space="preserve"> of the value of deposits have</w:t>
      </w:r>
      <w:r w:rsidRPr="00DC4A9A">
        <w:rPr>
          <w:rFonts w:cs="Arial"/>
        </w:rPr>
        <w:t xml:space="preserve"> members </w:t>
      </w:r>
      <w:r w:rsidR="001F1D4A">
        <w:rPr>
          <w:rFonts w:cs="Arial"/>
        </w:rPr>
        <w:t>with an</w:t>
      </w:r>
      <w:r w:rsidRPr="00DC4A9A">
        <w:rPr>
          <w:rFonts w:cs="Arial"/>
        </w:rPr>
        <w:t xml:space="preserve"> address outside of Canada.</w:t>
      </w:r>
    </w:p>
    <w:p w14:paraId="1DC67FC5" w14:textId="75A74D2F" w:rsidR="00582DCB" w:rsidRPr="00DC4A9A" w:rsidRDefault="00D0012D" w:rsidP="00582DCB">
      <w:pPr>
        <w:pStyle w:val="ListParagraph"/>
        <w:numPr>
          <w:ilvl w:val="0"/>
          <w:numId w:val="5"/>
        </w:numPr>
        <w:rPr>
          <w:rFonts w:cs="Arial"/>
        </w:rPr>
      </w:pPr>
      <w:r>
        <w:rPr>
          <w:rFonts w:cs="Arial"/>
        </w:rPr>
        <w:t>T</w:t>
      </w:r>
      <w:r w:rsidR="00582DCB" w:rsidRPr="00DC4A9A">
        <w:rPr>
          <w:rFonts w:cs="Arial"/>
        </w:rPr>
        <w:t xml:space="preserve">he following </w:t>
      </w:r>
      <w:r w:rsidR="00C177BD">
        <w:rPr>
          <w:rFonts w:cs="Arial"/>
        </w:rPr>
        <w:t>criteria required it met:</w:t>
      </w:r>
    </w:p>
    <w:p w14:paraId="632075F7" w14:textId="77777777" w:rsidR="00582DCB" w:rsidRPr="001F2A64" w:rsidRDefault="00582DCB" w:rsidP="00582DCB">
      <w:pPr>
        <w:pStyle w:val="ListParagraph"/>
        <w:numPr>
          <w:ilvl w:val="1"/>
          <w:numId w:val="5"/>
        </w:numPr>
        <w:rPr>
          <w:rFonts w:cs="Arial"/>
        </w:rPr>
      </w:pPr>
      <w:r w:rsidRPr="001F2A64">
        <w:rPr>
          <w:rFonts w:cs="Arial"/>
        </w:rPr>
        <w:t>The credit union’s business primarily consists of receiving deposits from and making loans to members and that no member has a greater than 5% interest in the credit union.</w:t>
      </w:r>
    </w:p>
    <w:p w14:paraId="6F5A76EB" w14:textId="77777777" w:rsidR="00582DCB" w:rsidRPr="00DC4A9A" w:rsidRDefault="00582DCB" w:rsidP="00582DCB">
      <w:pPr>
        <w:pStyle w:val="ListParagraph"/>
        <w:numPr>
          <w:ilvl w:val="1"/>
          <w:numId w:val="5"/>
        </w:numPr>
        <w:rPr>
          <w:rFonts w:cs="Arial"/>
        </w:rPr>
      </w:pPr>
      <w:r w:rsidRPr="00DC4A9A">
        <w:rPr>
          <w:rFonts w:cs="Arial"/>
        </w:rPr>
        <w:t>The credit union is licensed in the province of Ontario as an Ontario regulated credit union</w:t>
      </w:r>
      <w:r>
        <w:rPr>
          <w:rFonts w:cs="Arial"/>
        </w:rPr>
        <w:t>.</w:t>
      </w:r>
    </w:p>
    <w:p w14:paraId="7C910EAD" w14:textId="77777777" w:rsidR="00582DCB" w:rsidRPr="00DC4A9A" w:rsidRDefault="00582DCB" w:rsidP="00582DCB">
      <w:pPr>
        <w:pStyle w:val="ListParagraph"/>
        <w:numPr>
          <w:ilvl w:val="1"/>
          <w:numId w:val="5"/>
        </w:numPr>
        <w:rPr>
          <w:rFonts w:cs="Arial"/>
        </w:rPr>
      </w:pPr>
      <w:r w:rsidRPr="00DC4A9A">
        <w:rPr>
          <w:rFonts w:cs="Arial"/>
        </w:rPr>
        <w:t>The credit union does not have a fixed place of business outside of Canada</w:t>
      </w:r>
      <w:r>
        <w:rPr>
          <w:rFonts w:cs="Arial"/>
        </w:rPr>
        <w:t>.</w:t>
      </w:r>
    </w:p>
    <w:p w14:paraId="63ED060C" w14:textId="77777777" w:rsidR="00582DCB" w:rsidRPr="00DC4A9A" w:rsidRDefault="00582DCB" w:rsidP="00582DCB">
      <w:pPr>
        <w:pStyle w:val="ListParagraph"/>
        <w:numPr>
          <w:ilvl w:val="1"/>
          <w:numId w:val="5"/>
        </w:numPr>
        <w:rPr>
          <w:rFonts w:cs="Arial"/>
        </w:rPr>
      </w:pPr>
      <w:r w:rsidRPr="00DC4A9A">
        <w:rPr>
          <w:rFonts w:cs="Arial"/>
        </w:rPr>
        <w:t>The credit union does not solicit members outside of Canada nor does it advertise that is provides accounts to non-residents.</w:t>
      </w:r>
    </w:p>
    <w:p w14:paraId="170DD64D" w14:textId="77777777" w:rsidR="00582DCB" w:rsidRPr="00DC4A9A" w:rsidRDefault="00582DCB" w:rsidP="00582DCB">
      <w:pPr>
        <w:pStyle w:val="ListParagraph"/>
        <w:numPr>
          <w:ilvl w:val="2"/>
          <w:numId w:val="5"/>
        </w:numPr>
        <w:rPr>
          <w:rFonts w:cs="Arial"/>
        </w:rPr>
      </w:pPr>
      <w:r w:rsidRPr="00DC4A9A">
        <w:rPr>
          <w:rFonts w:cs="Arial"/>
        </w:rPr>
        <w:t>The credit union’s website does not indicate that accounts or services are provided to non-residents of Canada; and</w:t>
      </w:r>
    </w:p>
    <w:p w14:paraId="08E2F695" w14:textId="77777777" w:rsidR="00582DCB" w:rsidRPr="00DC4A9A" w:rsidRDefault="00582DCB" w:rsidP="00582DCB">
      <w:pPr>
        <w:pStyle w:val="ListParagraph"/>
        <w:numPr>
          <w:ilvl w:val="2"/>
          <w:numId w:val="5"/>
        </w:numPr>
        <w:rPr>
          <w:rFonts w:cs="Arial"/>
        </w:rPr>
      </w:pPr>
      <w:r w:rsidRPr="00DC4A9A">
        <w:rPr>
          <w:rFonts w:cs="Arial"/>
        </w:rPr>
        <w:t>The credit union’s print/radio/TV advertising does not specifically indicate that accounts/services are provided to non-residents of Canada.</w:t>
      </w:r>
    </w:p>
    <w:p w14:paraId="061A64DC" w14:textId="77777777" w:rsidR="00582DCB" w:rsidRPr="00DC4A9A" w:rsidRDefault="00582DCB" w:rsidP="00582DCB">
      <w:pPr>
        <w:pStyle w:val="ListParagraph"/>
        <w:numPr>
          <w:ilvl w:val="1"/>
          <w:numId w:val="5"/>
        </w:numPr>
        <w:rPr>
          <w:rFonts w:cs="Arial"/>
        </w:rPr>
      </w:pPr>
      <w:r w:rsidRPr="00DC4A9A">
        <w:rPr>
          <w:rFonts w:cs="Arial"/>
        </w:rPr>
        <w:t>The credit union is required to identify Canadian resident account holders for tax purposes and is a reporting entity under PCMLTFA and related regulations</w:t>
      </w:r>
      <w:r>
        <w:rPr>
          <w:rFonts w:cs="Arial"/>
        </w:rPr>
        <w:t>.</w:t>
      </w:r>
    </w:p>
    <w:p w14:paraId="3D9BFE46" w14:textId="1D6478F5" w:rsidR="00582DCB" w:rsidRDefault="00582DCB" w:rsidP="00582DCB">
      <w:pPr>
        <w:pStyle w:val="ListParagraph"/>
        <w:numPr>
          <w:ilvl w:val="1"/>
          <w:numId w:val="5"/>
        </w:numPr>
        <w:rPr>
          <w:rFonts w:cs="Arial"/>
        </w:rPr>
      </w:pPr>
      <w:r w:rsidRPr="00DC4A9A">
        <w:rPr>
          <w:rFonts w:cs="Arial"/>
        </w:rPr>
        <w:lastRenderedPageBreak/>
        <w:t>The credit union does not actively assist U.S. persons to avoid reporting obligations.</w:t>
      </w:r>
    </w:p>
    <w:p w14:paraId="328114C3" w14:textId="385ACA97" w:rsidR="00767B5E" w:rsidRPr="00DC4A9A" w:rsidRDefault="00767B5E" w:rsidP="00582DCB">
      <w:pPr>
        <w:pStyle w:val="ListParagraph"/>
        <w:numPr>
          <w:ilvl w:val="1"/>
          <w:numId w:val="5"/>
        </w:numPr>
        <w:rPr>
          <w:rFonts w:cs="Arial"/>
        </w:rPr>
      </w:pPr>
      <w:r>
        <w:rPr>
          <w:rFonts w:cs="Arial"/>
        </w:rPr>
        <w:t>The credit union is not part of an expanded affiliated group.</w:t>
      </w:r>
    </w:p>
    <w:p w14:paraId="24769FAB" w14:textId="271672C1" w:rsidR="00582DCB" w:rsidRPr="008F0714" w:rsidRDefault="001E3760" w:rsidP="00582DCB">
      <w:pPr>
        <w:rPr>
          <w:rFonts w:cs="Arial"/>
          <w:b/>
          <w:bCs/>
        </w:rPr>
      </w:pPr>
      <w:r w:rsidRPr="008F0714">
        <w:rPr>
          <w:rFonts w:cs="Arial"/>
          <w:b/>
          <w:bCs/>
        </w:rPr>
        <w:t>Role of the credit union</w:t>
      </w:r>
    </w:p>
    <w:p w14:paraId="233D1DBF" w14:textId="009EAE40" w:rsidR="001E3760" w:rsidRDefault="001E3760" w:rsidP="00582DCB">
      <w:pPr>
        <w:rPr>
          <w:rFonts w:cs="Arial"/>
        </w:rPr>
      </w:pPr>
      <w:r>
        <w:rPr>
          <w:rFonts w:cs="Arial"/>
        </w:rPr>
        <w:t>The credit union when a new account is opened obtains information to identify the residency status of the member.</w:t>
      </w:r>
      <w:r w:rsidR="004256C8">
        <w:rPr>
          <w:rFonts w:cs="Arial"/>
        </w:rPr>
        <w:t xml:space="preserve">  The credit union will report</w:t>
      </w:r>
      <w:r w:rsidR="000C0877">
        <w:rPr>
          <w:rFonts w:cs="Arial"/>
        </w:rPr>
        <w:t xml:space="preserve"> reportable</w:t>
      </w:r>
      <w:r w:rsidR="004256C8">
        <w:rPr>
          <w:rFonts w:cs="Arial"/>
        </w:rPr>
        <w:t xml:space="preserve"> financial accounts of persons</w:t>
      </w:r>
      <w:r w:rsidR="00E11D2D">
        <w:rPr>
          <w:rFonts w:cs="Arial"/>
        </w:rPr>
        <w:t xml:space="preserve"> that reside </w:t>
      </w:r>
      <w:r w:rsidR="00DC1958">
        <w:rPr>
          <w:rFonts w:cs="Arial"/>
        </w:rPr>
        <w:t>in the U.S.</w:t>
      </w:r>
      <w:r w:rsidR="00E11D2D">
        <w:rPr>
          <w:rFonts w:cs="Arial"/>
        </w:rPr>
        <w:t xml:space="preserve"> to the CRA annually</w:t>
      </w:r>
      <w:r w:rsidR="00DC1958">
        <w:rPr>
          <w:rFonts w:cs="Arial"/>
        </w:rPr>
        <w:t xml:space="preserve"> that exceed the reporting threshold.</w:t>
      </w:r>
    </w:p>
    <w:p w14:paraId="628F7C3A" w14:textId="0E1CBC6A" w:rsidR="00E43B5C" w:rsidRPr="00E43B5C" w:rsidRDefault="00E43B5C" w:rsidP="00582DCB">
      <w:pPr>
        <w:rPr>
          <w:rFonts w:cs="Arial"/>
          <w:b/>
          <w:bCs/>
        </w:rPr>
      </w:pPr>
      <w:r w:rsidRPr="00E43B5C">
        <w:rPr>
          <w:rFonts w:cs="Arial"/>
          <w:b/>
          <w:bCs/>
        </w:rPr>
        <w:t>Certification</w:t>
      </w:r>
    </w:p>
    <w:p w14:paraId="16ABB165" w14:textId="58FEFFBC" w:rsidR="00C466F8" w:rsidRDefault="008556DA">
      <w:pPr>
        <w:rPr>
          <w:rFonts w:cs="Arial"/>
        </w:rPr>
      </w:pPr>
      <w:r>
        <w:rPr>
          <w:rFonts w:cs="Arial"/>
        </w:rPr>
        <w:t xml:space="preserve">I certify that the credit union meets the criteria </w:t>
      </w:r>
      <w:r w:rsidR="00FB2D57">
        <w:rPr>
          <w:rFonts w:cs="Arial"/>
        </w:rPr>
        <w:t>under the definition of a Non-Reporting CFI with a local client base</w:t>
      </w:r>
      <w:r w:rsidR="00027E6C">
        <w:rPr>
          <w:rFonts w:cs="Arial"/>
        </w:rPr>
        <w:t xml:space="preserve"> and thus qualifies as a Registered Deemed Compliant Foreign Financial Institution</w:t>
      </w:r>
      <w:r w:rsidR="005170A5">
        <w:rPr>
          <w:rFonts w:cs="Arial"/>
        </w:rPr>
        <w:t xml:space="preserve"> </w:t>
      </w:r>
      <w:r w:rsidR="0057274E">
        <w:rPr>
          <w:rFonts w:cs="Arial"/>
        </w:rPr>
        <w:t>under the provisions of section III of Annex II Non-Reporting Canadian Financial Institution and Products of the Agreement Between the Government of the United States of America and the Government of Canada to improve international tax compliance through enhanced exchange of information under the Convention Between the United States of America and Canada with Respect to Taxes on Income and on Capital.</w:t>
      </w:r>
    </w:p>
    <w:p w14:paraId="49A5ADB5" w14:textId="7405CD7F" w:rsidR="00493A93" w:rsidRDefault="00493A93">
      <w:pPr>
        <w:rPr>
          <w:rFonts w:cs="Arial"/>
        </w:rPr>
      </w:pPr>
    </w:p>
    <w:p w14:paraId="1DA96BB0" w14:textId="5C73ED2C" w:rsidR="00493A93" w:rsidRDefault="00493A93">
      <w:pPr>
        <w:rPr>
          <w:rFonts w:cs="Arial"/>
        </w:rPr>
      </w:pPr>
      <w:r>
        <w:rPr>
          <w:rFonts w:cs="Arial"/>
        </w:rPr>
        <w:t>Signed at Ajax, Ontario on this 31</w:t>
      </w:r>
      <w:r w:rsidRPr="00493A93">
        <w:rPr>
          <w:rFonts w:cs="Arial"/>
          <w:vertAlign w:val="superscript"/>
        </w:rPr>
        <w:t>st</w:t>
      </w:r>
      <w:r>
        <w:rPr>
          <w:rFonts w:cs="Arial"/>
        </w:rPr>
        <w:t xml:space="preserve"> day of </w:t>
      </w:r>
      <w:r w:rsidR="000B79E0">
        <w:rPr>
          <w:rFonts w:cs="Arial"/>
        </w:rPr>
        <w:t>December</w:t>
      </w:r>
      <w:r>
        <w:rPr>
          <w:rFonts w:cs="Arial"/>
        </w:rPr>
        <w:t xml:space="preserve"> </w:t>
      </w:r>
      <w:r w:rsidR="00C66016">
        <w:rPr>
          <w:rFonts w:cs="Arial"/>
        </w:rPr>
        <w:t>202</w:t>
      </w:r>
      <w:r w:rsidR="005E760A">
        <w:rPr>
          <w:rFonts w:cs="Arial"/>
        </w:rPr>
        <w:t>2</w:t>
      </w:r>
      <w:r w:rsidR="00C66016">
        <w:rPr>
          <w:rFonts w:cs="Arial"/>
        </w:rPr>
        <w:t>.</w:t>
      </w:r>
    </w:p>
    <w:p w14:paraId="749B42E1" w14:textId="036195EC" w:rsidR="00493A93" w:rsidRDefault="00493A93">
      <w:pPr>
        <w:rPr>
          <w:rFonts w:cs="Arial"/>
        </w:rPr>
      </w:pPr>
    </w:p>
    <w:p w14:paraId="51C12CAA" w14:textId="28569F0F" w:rsidR="00493A93" w:rsidRDefault="00493A93">
      <w:pPr>
        <w:rPr>
          <w:rFonts w:cs="Arial"/>
        </w:rPr>
      </w:pPr>
      <w:r>
        <w:rPr>
          <w:rFonts w:cs="Arial"/>
        </w:rPr>
        <w:t>__________________</w:t>
      </w:r>
    </w:p>
    <w:p w14:paraId="5705C838" w14:textId="212E7D6D" w:rsidR="00493A93" w:rsidRDefault="00493A93">
      <w:pPr>
        <w:rPr>
          <w:rFonts w:cs="Arial"/>
        </w:rPr>
      </w:pPr>
      <w:r>
        <w:rPr>
          <w:rFonts w:cs="Arial"/>
        </w:rPr>
        <w:t>Thomas Dimson, Chief Executive Officer</w:t>
      </w:r>
    </w:p>
    <w:p w14:paraId="5562C2DD" w14:textId="24145E8C" w:rsidR="00252A4A" w:rsidRDefault="00252A4A">
      <w:pPr>
        <w:rPr>
          <w:rFonts w:cs="Arial"/>
        </w:rPr>
      </w:pPr>
    </w:p>
    <w:p w14:paraId="709F8A99" w14:textId="77777777" w:rsidR="00BE194B" w:rsidRPr="00041B3B" w:rsidRDefault="00BE194B">
      <w:pPr>
        <w:rPr>
          <w:rFonts w:cs="Arial"/>
        </w:rPr>
      </w:pPr>
    </w:p>
    <w:sectPr w:rsidR="00BE194B" w:rsidRPr="00041B3B" w:rsidSect="00041B3B">
      <w:headerReference w:type="default" r:id="rId11"/>
      <w:footerReference w:type="default" r:id="rId12"/>
      <w:pgSz w:w="12240" w:h="15840"/>
      <w:pgMar w:top="1440" w:right="1440" w:bottom="1440" w:left="1440" w:header="708" w:footer="708" w:gutter="0"/>
      <w:pgBorders w:offsetFrom="page">
        <w:top w:val="single" w:sz="4" w:space="24" w:color="538135" w:themeColor="accent6" w:themeShade="BF"/>
        <w:left w:val="single" w:sz="4" w:space="24" w:color="538135" w:themeColor="accent6" w:themeShade="BF"/>
        <w:bottom w:val="single" w:sz="4" w:space="24" w:color="538135" w:themeColor="accent6" w:themeShade="BF"/>
        <w:right w:val="single" w:sz="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8D8A" w14:textId="77777777" w:rsidR="00D35C7F" w:rsidRDefault="00D35C7F" w:rsidP="00DF569E">
      <w:pPr>
        <w:spacing w:after="0" w:line="240" w:lineRule="auto"/>
      </w:pPr>
      <w:r>
        <w:separator/>
      </w:r>
    </w:p>
  </w:endnote>
  <w:endnote w:type="continuationSeparator" w:id="0">
    <w:p w14:paraId="236E669E" w14:textId="77777777" w:rsidR="00D35C7F" w:rsidRDefault="00D35C7F" w:rsidP="00DF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176742"/>
      <w:docPartObj>
        <w:docPartGallery w:val="Page Numbers (Bottom of Page)"/>
        <w:docPartUnique/>
      </w:docPartObj>
    </w:sdtPr>
    <w:sdtEndPr/>
    <w:sdtContent>
      <w:sdt>
        <w:sdtPr>
          <w:id w:val="-1769616900"/>
          <w:docPartObj>
            <w:docPartGallery w:val="Page Numbers (Top of Page)"/>
            <w:docPartUnique/>
          </w:docPartObj>
        </w:sdtPr>
        <w:sdtEndPr/>
        <w:sdtContent>
          <w:p w14:paraId="0CB9A554" w14:textId="730E0752" w:rsidR="004D3307" w:rsidRDefault="00D63636" w:rsidP="00D63636">
            <w:pPr>
              <w:pStyle w:val="Footer"/>
            </w:pPr>
            <w:r>
              <w:tab/>
            </w:r>
            <w:r>
              <w:tab/>
            </w:r>
            <w:r w:rsidR="004D3307">
              <w:t xml:space="preserve">Page </w:t>
            </w:r>
            <w:r w:rsidR="004D3307">
              <w:rPr>
                <w:b/>
                <w:bCs/>
                <w:sz w:val="24"/>
                <w:szCs w:val="24"/>
              </w:rPr>
              <w:fldChar w:fldCharType="begin"/>
            </w:r>
            <w:r w:rsidR="004D3307">
              <w:rPr>
                <w:b/>
                <w:bCs/>
              </w:rPr>
              <w:instrText xml:space="preserve"> PAGE </w:instrText>
            </w:r>
            <w:r w:rsidR="004D3307">
              <w:rPr>
                <w:b/>
                <w:bCs/>
                <w:sz w:val="24"/>
                <w:szCs w:val="24"/>
              </w:rPr>
              <w:fldChar w:fldCharType="separate"/>
            </w:r>
            <w:r w:rsidR="004D3307">
              <w:rPr>
                <w:b/>
                <w:bCs/>
                <w:noProof/>
              </w:rPr>
              <w:t>2</w:t>
            </w:r>
            <w:r w:rsidR="004D3307">
              <w:rPr>
                <w:b/>
                <w:bCs/>
                <w:sz w:val="24"/>
                <w:szCs w:val="24"/>
              </w:rPr>
              <w:fldChar w:fldCharType="end"/>
            </w:r>
            <w:r w:rsidR="004D3307">
              <w:t xml:space="preserve"> of </w:t>
            </w:r>
            <w:r w:rsidR="004D3307">
              <w:rPr>
                <w:b/>
                <w:bCs/>
                <w:sz w:val="24"/>
                <w:szCs w:val="24"/>
              </w:rPr>
              <w:fldChar w:fldCharType="begin"/>
            </w:r>
            <w:r w:rsidR="004D3307">
              <w:rPr>
                <w:b/>
                <w:bCs/>
              </w:rPr>
              <w:instrText xml:space="preserve"> NUMPAGES  </w:instrText>
            </w:r>
            <w:r w:rsidR="004D3307">
              <w:rPr>
                <w:b/>
                <w:bCs/>
                <w:sz w:val="24"/>
                <w:szCs w:val="24"/>
              </w:rPr>
              <w:fldChar w:fldCharType="separate"/>
            </w:r>
            <w:r w:rsidR="004D3307">
              <w:rPr>
                <w:b/>
                <w:bCs/>
                <w:noProof/>
              </w:rPr>
              <w:t>2</w:t>
            </w:r>
            <w:r w:rsidR="004D3307">
              <w:rPr>
                <w:b/>
                <w:bCs/>
                <w:sz w:val="24"/>
                <w:szCs w:val="24"/>
              </w:rPr>
              <w:fldChar w:fldCharType="end"/>
            </w:r>
          </w:p>
        </w:sdtContent>
      </w:sdt>
    </w:sdtContent>
  </w:sdt>
  <w:p w14:paraId="4AB798BD" w14:textId="77777777" w:rsidR="004D3307" w:rsidRDefault="004D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F682" w14:textId="77777777" w:rsidR="00D35C7F" w:rsidRDefault="00D35C7F" w:rsidP="00DF569E">
      <w:pPr>
        <w:spacing w:after="0" w:line="240" w:lineRule="auto"/>
      </w:pPr>
      <w:r>
        <w:separator/>
      </w:r>
    </w:p>
  </w:footnote>
  <w:footnote w:type="continuationSeparator" w:id="0">
    <w:p w14:paraId="6ECD7134" w14:textId="77777777" w:rsidR="00D35C7F" w:rsidRDefault="00D35C7F" w:rsidP="00DF5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561E" w14:textId="1159BBCB" w:rsidR="00DF569E" w:rsidRDefault="00DF569E">
    <w:pPr>
      <w:pStyle w:val="Header"/>
    </w:pPr>
    <w:r w:rsidRPr="00BC6385">
      <w:rPr>
        <w:noProof/>
      </w:rPr>
      <w:drawing>
        <wp:inline distT="0" distB="0" distL="0" distR="0" wp14:anchorId="73BCBC4D" wp14:editId="46E77ACF">
          <wp:extent cx="1435100" cy="558800"/>
          <wp:effectExtent l="0" t="0" r="0" b="0"/>
          <wp:docPr id="1" name="Picture 1" descr="Equity Credit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ty Credit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58800"/>
                  </a:xfrm>
                  <a:prstGeom prst="rect">
                    <a:avLst/>
                  </a:prstGeom>
                  <a:noFill/>
                  <a:ln>
                    <a:noFill/>
                  </a:ln>
                </pic:spPr>
              </pic:pic>
            </a:graphicData>
          </a:graphic>
        </wp:inline>
      </w:drawing>
    </w:r>
  </w:p>
  <w:p w14:paraId="3A8620A8" w14:textId="71ADCF27" w:rsidR="00DF569E" w:rsidRDefault="00DF569E">
    <w:pPr>
      <w:pStyle w:val="Header"/>
    </w:pPr>
  </w:p>
  <w:p w14:paraId="33F10680" w14:textId="49ED4524" w:rsidR="00DF569E" w:rsidRPr="004D3307" w:rsidRDefault="00DF569E" w:rsidP="00376916">
    <w:pPr>
      <w:pStyle w:val="Header"/>
      <w:jc w:val="right"/>
      <w:rPr>
        <w:b/>
        <w:bCs/>
      </w:rPr>
    </w:pPr>
    <w:r>
      <w:tab/>
    </w:r>
  </w:p>
  <w:p w14:paraId="7E708095" w14:textId="77777777" w:rsidR="004D3307" w:rsidRDefault="004D3307" w:rsidP="003769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AF1"/>
    <w:multiLevelType w:val="hybridMultilevel"/>
    <w:tmpl w:val="A0FEB8EE"/>
    <w:lvl w:ilvl="0" w:tplc="2AFA3BF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1E6A99"/>
    <w:multiLevelType w:val="hybridMultilevel"/>
    <w:tmpl w:val="C02C1006"/>
    <w:lvl w:ilvl="0" w:tplc="2AFA3B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F2673F"/>
    <w:multiLevelType w:val="hybridMultilevel"/>
    <w:tmpl w:val="44721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706791"/>
    <w:multiLevelType w:val="hybridMultilevel"/>
    <w:tmpl w:val="CA1E9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547111"/>
    <w:multiLevelType w:val="hybridMultilevel"/>
    <w:tmpl w:val="F71CB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452DB6"/>
    <w:multiLevelType w:val="hybridMultilevel"/>
    <w:tmpl w:val="0A0AA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C435AE"/>
    <w:multiLevelType w:val="hybridMultilevel"/>
    <w:tmpl w:val="A0FEB8EE"/>
    <w:lvl w:ilvl="0" w:tplc="2AFA3BF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42093353">
    <w:abstractNumId w:val="5"/>
  </w:num>
  <w:num w:numId="2" w16cid:durableId="706176397">
    <w:abstractNumId w:val="1"/>
  </w:num>
  <w:num w:numId="3" w16cid:durableId="1941138494">
    <w:abstractNumId w:val="0"/>
  </w:num>
  <w:num w:numId="4" w16cid:durableId="1172716002">
    <w:abstractNumId w:val="3"/>
  </w:num>
  <w:num w:numId="5" w16cid:durableId="263348800">
    <w:abstractNumId w:val="6"/>
  </w:num>
  <w:num w:numId="6" w16cid:durableId="1546798688">
    <w:abstractNumId w:val="4"/>
  </w:num>
  <w:num w:numId="7" w16cid:durableId="810827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E8"/>
    <w:rsid w:val="0002329F"/>
    <w:rsid w:val="00027E6C"/>
    <w:rsid w:val="00032F4B"/>
    <w:rsid w:val="00035AB8"/>
    <w:rsid w:val="00041B3B"/>
    <w:rsid w:val="00046F67"/>
    <w:rsid w:val="00090E85"/>
    <w:rsid w:val="00094431"/>
    <w:rsid w:val="000B79E0"/>
    <w:rsid w:val="000C0877"/>
    <w:rsid w:val="000D4A94"/>
    <w:rsid w:val="000E3DCB"/>
    <w:rsid w:val="000F24A4"/>
    <w:rsid w:val="0011256A"/>
    <w:rsid w:val="00115D89"/>
    <w:rsid w:val="00130159"/>
    <w:rsid w:val="00136222"/>
    <w:rsid w:val="0013669B"/>
    <w:rsid w:val="001454CD"/>
    <w:rsid w:val="00163AD7"/>
    <w:rsid w:val="0017173F"/>
    <w:rsid w:val="00193525"/>
    <w:rsid w:val="001A76AF"/>
    <w:rsid w:val="001E3760"/>
    <w:rsid w:val="001F1D4A"/>
    <w:rsid w:val="001F2458"/>
    <w:rsid w:val="001F2A64"/>
    <w:rsid w:val="00202F1A"/>
    <w:rsid w:val="002260EA"/>
    <w:rsid w:val="002451FA"/>
    <w:rsid w:val="00252A4A"/>
    <w:rsid w:val="00273615"/>
    <w:rsid w:val="00281B9B"/>
    <w:rsid w:val="002955A2"/>
    <w:rsid w:val="00297300"/>
    <w:rsid w:val="002D0BBF"/>
    <w:rsid w:val="00302BB3"/>
    <w:rsid w:val="003172B8"/>
    <w:rsid w:val="003215D1"/>
    <w:rsid w:val="00344792"/>
    <w:rsid w:val="00357843"/>
    <w:rsid w:val="00376916"/>
    <w:rsid w:val="00381D95"/>
    <w:rsid w:val="00386287"/>
    <w:rsid w:val="003B0C54"/>
    <w:rsid w:val="003E21A2"/>
    <w:rsid w:val="003F5DC9"/>
    <w:rsid w:val="0040666C"/>
    <w:rsid w:val="00411582"/>
    <w:rsid w:val="004154FA"/>
    <w:rsid w:val="004256C8"/>
    <w:rsid w:val="00437B73"/>
    <w:rsid w:val="00453FE9"/>
    <w:rsid w:val="00456221"/>
    <w:rsid w:val="00463571"/>
    <w:rsid w:val="00471B12"/>
    <w:rsid w:val="00473649"/>
    <w:rsid w:val="00487BC6"/>
    <w:rsid w:val="00493A93"/>
    <w:rsid w:val="004B1107"/>
    <w:rsid w:val="004B677E"/>
    <w:rsid w:val="004C6518"/>
    <w:rsid w:val="004D3307"/>
    <w:rsid w:val="005165D6"/>
    <w:rsid w:val="005170A5"/>
    <w:rsid w:val="00522399"/>
    <w:rsid w:val="00534C1F"/>
    <w:rsid w:val="00536C39"/>
    <w:rsid w:val="0056329E"/>
    <w:rsid w:val="00571EF8"/>
    <w:rsid w:val="0057274E"/>
    <w:rsid w:val="00582DCB"/>
    <w:rsid w:val="005852E6"/>
    <w:rsid w:val="005877FE"/>
    <w:rsid w:val="005922A8"/>
    <w:rsid w:val="005952B1"/>
    <w:rsid w:val="00597DDF"/>
    <w:rsid w:val="005D51C5"/>
    <w:rsid w:val="005E4E29"/>
    <w:rsid w:val="005E760A"/>
    <w:rsid w:val="005F79A8"/>
    <w:rsid w:val="00602168"/>
    <w:rsid w:val="006034B4"/>
    <w:rsid w:val="00606C71"/>
    <w:rsid w:val="00610419"/>
    <w:rsid w:val="006142D2"/>
    <w:rsid w:val="00622B26"/>
    <w:rsid w:val="0062355A"/>
    <w:rsid w:val="00667C04"/>
    <w:rsid w:val="00686D52"/>
    <w:rsid w:val="006935EB"/>
    <w:rsid w:val="00694C72"/>
    <w:rsid w:val="006953F4"/>
    <w:rsid w:val="006C39E0"/>
    <w:rsid w:val="006C5AEB"/>
    <w:rsid w:val="006D2F1C"/>
    <w:rsid w:val="006D516E"/>
    <w:rsid w:val="006F6A6F"/>
    <w:rsid w:val="0071127F"/>
    <w:rsid w:val="0072277E"/>
    <w:rsid w:val="007231A2"/>
    <w:rsid w:val="007234EE"/>
    <w:rsid w:val="007405C0"/>
    <w:rsid w:val="0074114D"/>
    <w:rsid w:val="007430D7"/>
    <w:rsid w:val="007500B7"/>
    <w:rsid w:val="00767347"/>
    <w:rsid w:val="00767B5E"/>
    <w:rsid w:val="007C71D2"/>
    <w:rsid w:val="007D0827"/>
    <w:rsid w:val="007D14D4"/>
    <w:rsid w:val="007D2808"/>
    <w:rsid w:val="007F262D"/>
    <w:rsid w:val="007F4D77"/>
    <w:rsid w:val="00834188"/>
    <w:rsid w:val="00845BF8"/>
    <w:rsid w:val="008556DA"/>
    <w:rsid w:val="00887488"/>
    <w:rsid w:val="008D4AA0"/>
    <w:rsid w:val="008D5A8D"/>
    <w:rsid w:val="008E61D9"/>
    <w:rsid w:val="008E6929"/>
    <w:rsid w:val="008F0714"/>
    <w:rsid w:val="009000E7"/>
    <w:rsid w:val="009240E4"/>
    <w:rsid w:val="00956C43"/>
    <w:rsid w:val="009641AC"/>
    <w:rsid w:val="009C1E36"/>
    <w:rsid w:val="009C4B73"/>
    <w:rsid w:val="009D0E5C"/>
    <w:rsid w:val="009D2F89"/>
    <w:rsid w:val="009D6820"/>
    <w:rsid w:val="009E3792"/>
    <w:rsid w:val="009F6EF7"/>
    <w:rsid w:val="00A10E7C"/>
    <w:rsid w:val="00A203F2"/>
    <w:rsid w:val="00A4288A"/>
    <w:rsid w:val="00A44173"/>
    <w:rsid w:val="00A61B08"/>
    <w:rsid w:val="00A72729"/>
    <w:rsid w:val="00A87319"/>
    <w:rsid w:val="00AD1652"/>
    <w:rsid w:val="00AD3281"/>
    <w:rsid w:val="00AE6357"/>
    <w:rsid w:val="00AE6D4F"/>
    <w:rsid w:val="00B07D88"/>
    <w:rsid w:val="00B208EB"/>
    <w:rsid w:val="00B34772"/>
    <w:rsid w:val="00B54AC9"/>
    <w:rsid w:val="00B56C5A"/>
    <w:rsid w:val="00B7595A"/>
    <w:rsid w:val="00BA1BAB"/>
    <w:rsid w:val="00BE194B"/>
    <w:rsid w:val="00BE1A72"/>
    <w:rsid w:val="00BE1B1D"/>
    <w:rsid w:val="00BE34E6"/>
    <w:rsid w:val="00BE5ED6"/>
    <w:rsid w:val="00BF051B"/>
    <w:rsid w:val="00BF7A42"/>
    <w:rsid w:val="00C177BD"/>
    <w:rsid w:val="00C434CC"/>
    <w:rsid w:val="00C466F8"/>
    <w:rsid w:val="00C66016"/>
    <w:rsid w:val="00C95D9C"/>
    <w:rsid w:val="00C97C06"/>
    <w:rsid w:val="00D0012D"/>
    <w:rsid w:val="00D06203"/>
    <w:rsid w:val="00D14904"/>
    <w:rsid w:val="00D35C7F"/>
    <w:rsid w:val="00D41F47"/>
    <w:rsid w:val="00D46C24"/>
    <w:rsid w:val="00D63636"/>
    <w:rsid w:val="00D77C51"/>
    <w:rsid w:val="00D84C59"/>
    <w:rsid w:val="00D85298"/>
    <w:rsid w:val="00D86C7A"/>
    <w:rsid w:val="00DA39C7"/>
    <w:rsid w:val="00DB541B"/>
    <w:rsid w:val="00DB7ED9"/>
    <w:rsid w:val="00DC1958"/>
    <w:rsid w:val="00DC219E"/>
    <w:rsid w:val="00DC4A9A"/>
    <w:rsid w:val="00DD1FE8"/>
    <w:rsid w:val="00DF569E"/>
    <w:rsid w:val="00DF64CA"/>
    <w:rsid w:val="00E11D2D"/>
    <w:rsid w:val="00E17C9A"/>
    <w:rsid w:val="00E43B5C"/>
    <w:rsid w:val="00E54332"/>
    <w:rsid w:val="00E67EB6"/>
    <w:rsid w:val="00EA4EAA"/>
    <w:rsid w:val="00ED5F45"/>
    <w:rsid w:val="00EE12AC"/>
    <w:rsid w:val="00EF4595"/>
    <w:rsid w:val="00F165B5"/>
    <w:rsid w:val="00F21198"/>
    <w:rsid w:val="00F3788D"/>
    <w:rsid w:val="00F40784"/>
    <w:rsid w:val="00F442E5"/>
    <w:rsid w:val="00FA7779"/>
    <w:rsid w:val="00FB2D57"/>
    <w:rsid w:val="00FD239C"/>
    <w:rsid w:val="00FD4130"/>
    <w:rsid w:val="00FF6A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5177"/>
  <w15:chartTrackingRefBased/>
  <w15:docId w15:val="{224BD5F7-782E-4DA5-A0D0-8BD0E526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58"/>
    <w:rPr>
      <w:rFonts w:ascii="Arial" w:hAnsi="Arial"/>
    </w:rPr>
  </w:style>
  <w:style w:type="paragraph" w:styleId="Heading1">
    <w:name w:val="heading 1"/>
    <w:basedOn w:val="Normal"/>
    <w:next w:val="Normal"/>
    <w:link w:val="Heading1Char"/>
    <w:uiPriority w:val="9"/>
    <w:qFormat/>
    <w:rsid w:val="00C95D9C"/>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95D9C"/>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69E"/>
  </w:style>
  <w:style w:type="paragraph" w:styleId="Footer">
    <w:name w:val="footer"/>
    <w:basedOn w:val="Normal"/>
    <w:link w:val="FooterChar"/>
    <w:uiPriority w:val="99"/>
    <w:unhideWhenUsed/>
    <w:rsid w:val="00DF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69E"/>
  </w:style>
  <w:style w:type="table" w:styleId="TableGrid">
    <w:name w:val="Table Grid"/>
    <w:basedOn w:val="TableNormal"/>
    <w:uiPriority w:val="39"/>
    <w:rsid w:val="00A2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B73"/>
    <w:pPr>
      <w:ind w:left="720"/>
      <w:contextualSpacing/>
    </w:pPr>
  </w:style>
  <w:style w:type="character" w:customStyle="1" w:styleId="Heading1Char">
    <w:name w:val="Heading 1 Char"/>
    <w:basedOn w:val="DefaultParagraphFont"/>
    <w:link w:val="Heading1"/>
    <w:uiPriority w:val="9"/>
    <w:rsid w:val="00C95D9C"/>
    <w:rPr>
      <w:rFonts w:ascii="Arial" w:eastAsiaTheme="majorEastAsia" w:hAnsi="Arial" w:cstheme="majorBidi"/>
      <w:b/>
      <w:szCs w:val="32"/>
    </w:rPr>
  </w:style>
  <w:style w:type="paragraph" w:styleId="FootnoteText">
    <w:name w:val="footnote text"/>
    <w:basedOn w:val="Normal"/>
    <w:link w:val="FootnoteTextChar"/>
    <w:uiPriority w:val="99"/>
    <w:semiHidden/>
    <w:unhideWhenUsed/>
    <w:rsid w:val="00302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BB3"/>
    <w:rPr>
      <w:rFonts w:ascii="Arial" w:hAnsi="Arial"/>
      <w:sz w:val="20"/>
      <w:szCs w:val="20"/>
    </w:rPr>
  </w:style>
  <w:style w:type="character" w:styleId="FootnoteReference">
    <w:name w:val="footnote reference"/>
    <w:basedOn w:val="DefaultParagraphFont"/>
    <w:uiPriority w:val="99"/>
    <w:semiHidden/>
    <w:unhideWhenUsed/>
    <w:rsid w:val="00302BB3"/>
    <w:rPr>
      <w:vertAlign w:val="superscript"/>
    </w:rPr>
  </w:style>
  <w:style w:type="character" w:styleId="Hyperlink">
    <w:name w:val="Hyperlink"/>
    <w:basedOn w:val="DefaultParagraphFont"/>
    <w:uiPriority w:val="99"/>
    <w:unhideWhenUsed/>
    <w:rsid w:val="00522399"/>
    <w:rPr>
      <w:color w:val="0563C1" w:themeColor="hyperlink"/>
      <w:u w:val="single"/>
    </w:rPr>
  </w:style>
  <w:style w:type="character" w:styleId="UnresolvedMention">
    <w:name w:val="Unresolved Mention"/>
    <w:basedOn w:val="DefaultParagraphFont"/>
    <w:uiPriority w:val="99"/>
    <w:semiHidden/>
    <w:unhideWhenUsed/>
    <w:rsid w:val="00522399"/>
    <w:rPr>
      <w:color w:val="605E5C"/>
      <w:shd w:val="clear" w:color="auto" w:fill="E1DFDD"/>
    </w:rPr>
  </w:style>
  <w:style w:type="character" w:customStyle="1" w:styleId="Heading2Char">
    <w:name w:val="Heading 2 Char"/>
    <w:basedOn w:val="DefaultParagraphFont"/>
    <w:link w:val="Heading2"/>
    <w:uiPriority w:val="9"/>
    <w:rsid w:val="00C95D9C"/>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C187520848C44A15C2615D7F9BF6B" ma:contentTypeVersion="4" ma:contentTypeDescription="Create a new document." ma:contentTypeScope="" ma:versionID="8a22adabe8138cd8431a20b4c060a80f">
  <xsd:schema xmlns:xsd="http://www.w3.org/2001/XMLSchema" xmlns:xs="http://www.w3.org/2001/XMLSchema" xmlns:p="http://schemas.microsoft.com/office/2006/metadata/properties" xmlns:ns2="3817d946-dcd8-463e-b43e-0bf147bdef97" targetNamespace="http://schemas.microsoft.com/office/2006/metadata/properties" ma:root="true" ma:fieldsID="3bc1eac96c5d88ee3fc0b5349b78398c" ns2:_="">
    <xsd:import namespace="3817d946-dcd8-463e-b43e-0bf147bde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7d946-dcd8-463e-b43e-0bf147bde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4E78D-8CE4-44F4-9155-ED336FA59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7d946-dcd8-463e-b43e-0bf147bde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FC0EE-8C82-4014-AB3B-700FDA521809}">
  <ds:schemaRefs>
    <ds:schemaRef ds:uri="http://schemas.openxmlformats.org/officeDocument/2006/bibliography"/>
  </ds:schemaRefs>
</ds:datastoreItem>
</file>

<file path=customXml/itemProps3.xml><?xml version="1.0" encoding="utf-8"?>
<ds:datastoreItem xmlns:ds="http://schemas.openxmlformats.org/officeDocument/2006/customXml" ds:itemID="{E247DFDD-D661-47B9-A0D0-3C942E316EA8}">
  <ds:schemaRefs>
    <ds:schemaRef ds:uri="http://purl.org/dc/elements/1.1/"/>
    <ds:schemaRef ds:uri="http://schemas.microsoft.com/office/2006/metadata/properties"/>
    <ds:schemaRef ds:uri="http://purl.org/dc/terms/"/>
    <ds:schemaRef ds:uri="http://schemas.microsoft.com/office/2006/documentManagement/types"/>
    <ds:schemaRef ds:uri="3817d946-dcd8-463e-b43e-0bf147bdef9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3EC1745-1579-4B14-B400-EA965D065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Robichaud</dc:creator>
  <cp:keywords/>
  <dc:description/>
  <cp:lastModifiedBy>Louise Robichaud</cp:lastModifiedBy>
  <cp:revision>4</cp:revision>
  <dcterms:created xsi:type="dcterms:W3CDTF">2023-01-06T19:44:00Z</dcterms:created>
  <dcterms:modified xsi:type="dcterms:W3CDTF">2023-01-06T19:46:00Z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0x0101006F7C187520848C44A15C2615D7F9BF6B</vt:lpwstr>
  </property>
</Properties>
</file>